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C8" w:rsidRDefault="00543B9F">
      <w:pPr>
        <w:tabs>
          <w:tab w:val="left" w:pos="6716"/>
        </w:tabs>
        <w:ind w:left="227"/>
        <w:rPr>
          <w:rFonts w:ascii="Times New Roman"/>
          <w:sz w:val="20"/>
        </w:rPr>
      </w:pPr>
      <w:r>
        <w:rPr>
          <w:noProof/>
        </w:rPr>
        <w:drawing>
          <wp:inline distT="0" distB="0" distL="0" distR="0">
            <wp:extent cx="3705225" cy="801675"/>
            <wp:effectExtent l="0" t="0" r="0" b="0"/>
            <wp:docPr id="2" name="Picture 2" descr="Dầu Nhớt Châu Â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ầu Nhớt Châu Â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307" cy="8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  <w:tab/>
      </w:r>
      <w:r w:rsidR="0070290C">
        <w:rPr>
          <w:rFonts w:ascii="Times New Roman"/>
          <w:sz w:val="20"/>
        </w:rPr>
      </w:r>
      <w:r w:rsidR="0070290C">
        <w:rPr>
          <w:rFonts w:ascii="Times New Roman"/>
          <w:sz w:val="20"/>
        </w:rPr>
        <w:pict>
          <v:group id="_x0000_s1026" style="width:173.95pt;height:66.15pt;mso-position-horizontal-relative:char;mso-position-vertical-relative:line" coordsize="3479,1323">
            <v:shape id="_x0000_s1028" style="position:absolute;width:3479;height:1323" coordsize="3479,1323" path="m2952,l527,,449,6,375,22,305,49,240,85r-59,44l129,181,85,240,49,305,22,375,6,449,,527,,796r6,78l22,948r27,70l85,1083r44,59l181,1194r59,44l305,1274r70,27l449,1317r78,6l2952,1323r78,-6l3104,1301r70,-27l3239,1238r59,-44l3350,1142r44,-59l3430,1018r27,-70l3473,874r6,-78l3479,527r-6,-78l3457,375r-27,-70l3394,240r-44,-59l3298,129,3239,85,3174,49,3104,22,3030,6,2952,xe" fillcolor="#2e2d6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3479;height:1323" filled="f" stroked="f">
              <v:textbox inset="0,0,0,0">
                <w:txbxContent>
                  <w:p w:rsidR="00A46CC8" w:rsidRDefault="00543B9F">
                    <w:pPr>
                      <w:spacing w:before="193" w:line="184" w:lineRule="auto"/>
                      <w:ind w:left="576" w:firstLine="72"/>
                      <w:rPr>
                        <w:rFonts w:ascii="Arial"/>
                        <w:color w:val="FFFFFF"/>
                        <w:spacing w:val="-19"/>
                        <w:w w:val="80"/>
                        <w:sz w:val="52"/>
                      </w:rPr>
                    </w:pPr>
                    <w:r>
                      <w:rPr>
                        <w:rFonts w:ascii="Arial"/>
                        <w:color w:val="FFFFFF"/>
                        <w:spacing w:val="-19"/>
                        <w:w w:val="80"/>
                        <w:sz w:val="52"/>
                      </w:rPr>
                      <w:t xml:space="preserve">  BARTON</w:t>
                    </w:r>
                  </w:p>
                  <w:p w:rsidR="00543B9F" w:rsidRDefault="00543B9F">
                    <w:pPr>
                      <w:spacing w:before="193" w:line="184" w:lineRule="auto"/>
                      <w:ind w:left="576" w:firstLine="72"/>
                      <w:rPr>
                        <w:rFonts w:ascii="Arial"/>
                        <w:sz w:val="52"/>
                      </w:rPr>
                    </w:pPr>
                    <w:r>
                      <w:rPr>
                        <w:rFonts w:ascii="Arial"/>
                        <w:color w:val="FFFFFF"/>
                        <w:spacing w:val="-19"/>
                        <w:w w:val="80"/>
                        <w:sz w:val="52"/>
                      </w:rPr>
                      <w:t xml:space="preserve">     LUBE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46CC8" w:rsidRDefault="00A46CC8">
      <w:pPr>
        <w:pStyle w:val="BodyText"/>
        <w:rPr>
          <w:rFonts w:ascii="Times New Roman"/>
          <w:sz w:val="20"/>
        </w:rPr>
      </w:pPr>
    </w:p>
    <w:p w:rsidR="00A46CC8" w:rsidRDefault="00A46CC8">
      <w:pPr>
        <w:pStyle w:val="BodyText"/>
        <w:rPr>
          <w:rFonts w:ascii="Times New Roman"/>
          <w:sz w:val="20"/>
        </w:rPr>
      </w:pPr>
    </w:p>
    <w:p w:rsidR="00A46CC8" w:rsidRDefault="0070290C">
      <w:pPr>
        <w:pStyle w:val="Title"/>
      </w:pPr>
      <w:r>
        <w:t>BARTON HEAT</w:t>
      </w:r>
    </w:p>
    <w:p w:rsidR="0070290C" w:rsidRPr="0070290C" w:rsidRDefault="0070290C">
      <w:pPr>
        <w:pStyle w:val="Title"/>
        <w:rPr>
          <w:sz w:val="32"/>
          <w:szCs w:val="32"/>
        </w:rPr>
      </w:pPr>
      <w:proofErr w:type="spellStart"/>
      <w:r w:rsidRPr="0070290C">
        <w:rPr>
          <w:sz w:val="32"/>
          <w:szCs w:val="32"/>
        </w:rPr>
        <w:t>Excelquench</w:t>
      </w:r>
      <w:proofErr w:type="spellEnd"/>
      <w:r w:rsidRPr="0070290C">
        <w:rPr>
          <w:sz w:val="32"/>
          <w:szCs w:val="32"/>
        </w:rPr>
        <w:t xml:space="preserve"> L602Z</w:t>
      </w:r>
    </w:p>
    <w:p w:rsidR="00A46CC8" w:rsidRDefault="00543B9F">
      <w:pPr>
        <w:pStyle w:val="Heading1"/>
        <w:spacing w:before="86" w:line="276" w:lineRule="auto"/>
        <w:ind w:right="6363"/>
        <w:rPr>
          <w:u w:val="none"/>
        </w:rPr>
      </w:pPr>
      <w:proofErr w:type="spellStart"/>
      <w:proofErr w:type="gramStart"/>
      <w:r>
        <w:rPr>
          <w:u w:val="none"/>
        </w:rPr>
        <w:t>quenchant</w:t>
      </w:r>
      <w:proofErr w:type="spellEnd"/>
      <w:proofErr w:type="gramEnd"/>
      <w:r>
        <w:rPr>
          <w:u w:val="none"/>
        </w:rPr>
        <w:t xml:space="preserve"> Product code:</w:t>
      </w:r>
      <w:r>
        <w:rPr>
          <w:spacing w:val="47"/>
          <w:u w:val="none"/>
        </w:rPr>
        <w:t xml:space="preserve"> </w:t>
      </w:r>
      <w:r>
        <w:rPr>
          <w:u w:val="none"/>
        </w:rPr>
        <w:t>Q022</w:t>
      </w:r>
    </w:p>
    <w:p w:rsidR="00A46CC8" w:rsidRDefault="00A46CC8">
      <w:pPr>
        <w:pStyle w:val="BodyText"/>
        <w:spacing w:before="10"/>
        <w:rPr>
          <w:b/>
          <w:sz w:val="20"/>
        </w:rPr>
      </w:pPr>
      <w:bookmarkStart w:id="0" w:name="_GoBack"/>
      <w:bookmarkEnd w:id="0"/>
    </w:p>
    <w:p w:rsidR="00A46CC8" w:rsidRDefault="00543B9F">
      <w:pPr>
        <w:ind w:left="227"/>
        <w:rPr>
          <w:b/>
        </w:rPr>
      </w:pPr>
      <w:r>
        <w:rPr>
          <w:b/>
          <w:u w:val="single"/>
        </w:rPr>
        <w:t>Product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Description:</w:t>
      </w:r>
    </w:p>
    <w:p w:rsidR="00A46CC8" w:rsidRDefault="00A46CC8">
      <w:pPr>
        <w:pStyle w:val="BodyText"/>
        <w:spacing w:before="11"/>
        <w:rPr>
          <w:b/>
          <w:sz w:val="23"/>
        </w:rPr>
      </w:pPr>
    </w:p>
    <w:p w:rsidR="00A46CC8" w:rsidRDefault="00543B9F">
      <w:pPr>
        <w:pStyle w:val="BodyText"/>
        <w:spacing w:before="56"/>
        <w:ind w:left="227"/>
      </w:pPr>
      <w:proofErr w:type="spellStart"/>
      <w:r>
        <w:t>Excelquench</w:t>
      </w:r>
      <w:proofErr w:type="spellEnd"/>
      <w:r>
        <w:t xml:space="preserve"> L602Z is a specially formulated, highly refined paraffinic accelerated quench oil.</w:t>
      </w:r>
    </w:p>
    <w:p w:rsidR="00A46CC8" w:rsidRDefault="00A46CC8">
      <w:pPr>
        <w:pStyle w:val="BodyText"/>
        <w:spacing w:before="1"/>
      </w:pPr>
    </w:p>
    <w:p w:rsidR="00A46CC8" w:rsidRDefault="00543B9F">
      <w:pPr>
        <w:pStyle w:val="BodyText"/>
        <w:ind w:left="227" w:right="89"/>
      </w:pPr>
      <w:r>
        <w:t xml:space="preserve">When a piece of steel, containing sufficient carbon, is cooled </w:t>
      </w:r>
      <w:proofErr w:type="gramStart"/>
      <w:r>
        <w:t>rapidly</w:t>
      </w:r>
      <w:proofErr w:type="gramEnd"/>
      <w:r>
        <w:t xml:space="preserve"> it becomes considerably harder than it would if allowed to cool slowly. The preferred </w:t>
      </w:r>
      <w:proofErr w:type="spellStart"/>
      <w:r>
        <w:t>quenchant</w:t>
      </w:r>
      <w:proofErr w:type="spellEnd"/>
      <w:r>
        <w:t xml:space="preserve"> is </w:t>
      </w:r>
      <w:proofErr w:type="gramStart"/>
      <w:r>
        <w:t>one which</w:t>
      </w:r>
      <w:proofErr w:type="gramEnd"/>
      <w:r>
        <w:t xml:space="preserve"> removes heat slowly in the </w:t>
      </w:r>
      <w:proofErr w:type="spellStart"/>
      <w:r>
        <w:t>vapour</w:t>
      </w:r>
      <w:proofErr w:type="spellEnd"/>
      <w:r>
        <w:t xml:space="preserve"> stage and rapidly in the </w:t>
      </w:r>
      <w:proofErr w:type="spellStart"/>
      <w:r>
        <w:t>vapour</w:t>
      </w:r>
      <w:proofErr w:type="spellEnd"/>
      <w:r>
        <w:t xml:space="preserve"> transport stage. The </w:t>
      </w:r>
      <w:proofErr w:type="spellStart"/>
      <w:r>
        <w:t>quenchant</w:t>
      </w:r>
      <w:proofErr w:type="spellEnd"/>
      <w:r>
        <w:t xml:space="preserve"> must also remove heat slowly in the liquid cooling stage when the metal </w:t>
      </w:r>
      <w:proofErr w:type="gramStart"/>
      <w:r>
        <w:t>is completely wetted</w:t>
      </w:r>
      <w:proofErr w:type="gramEnd"/>
      <w:r>
        <w:t xml:space="preserve"> by the fluid in order to reduce distortion.</w:t>
      </w:r>
    </w:p>
    <w:p w:rsidR="00A46CC8" w:rsidRDefault="00A46CC8">
      <w:pPr>
        <w:pStyle w:val="BodyText"/>
        <w:spacing w:before="1"/>
      </w:pPr>
    </w:p>
    <w:p w:rsidR="00A46CC8" w:rsidRDefault="00543B9F">
      <w:pPr>
        <w:pStyle w:val="BodyText"/>
        <w:spacing w:before="1"/>
        <w:ind w:left="227" w:right="206"/>
        <w:jc w:val="both"/>
      </w:pPr>
      <w:proofErr w:type="spellStart"/>
      <w:r>
        <w:t>Excelquench</w:t>
      </w:r>
      <w:proofErr w:type="spellEnd"/>
      <w:r>
        <w:t xml:space="preserve"> L602Z part accelerated quench oil has been formulated to promote uniformed rates of cooling. It does not readily </w:t>
      </w:r>
      <w:proofErr w:type="spellStart"/>
      <w:r>
        <w:t>oxidise</w:t>
      </w:r>
      <w:proofErr w:type="spellEnd"/>
      <w:r>
        <w:t xml:space="preserve"> and has a naturally high flash point. </w:t>
      </w:r>
      <w:proofErr w:type="spellStart"/>
      <w:r>
        <w:t>Excelquench</w:t>
      </w:r>
      <w:proofErr w:type="spellEnd"/>
      <w:r>
        <w:t xml:space="preserve"> L602Z contains wetting agents and accelerator additives to help reduce the </w:t>
      </w:r>
      <w:proofErr w:type="spellStart"/>
      <w:r>
        <w:t>vapour</w:t>
      </w:r>
      <w:proofErr w:type="spellEnd"/>
      <w:r>
        <w:t xml:space="preserve"> blanket phase thus promoting faster quenching speeds.</w:t>
      </w:r>
    </w:p>
    <w:p w:rsidR="00A46CC8" w:rsidRDefault="00A46CC8">
      <w:pPr>
        <w:pStyle w:val="BodyText"/>
        <w:spacing w:before="10"/>
        <w:rPr>
          <w:sz w:val="21"/>
        </w:rPr>
      </w:pPr>
    </w:p>
    <w:p w:rsidR="00A46CC8" w:rsidRDefault="00543B9F">
      <w:pPr>
        <w:pStyle w:val="Heading1"/>
        <w:rPr>
          <w:u w:val="none"/>
        </w:rPr>
      </w:pPr>
      <w:r>
        <w:t>Application:</w:t>
      </w:r>
    </w:p>
    <w:p w:rsidR="00A46CC8" w:rsidRDefault="00A46CC8">
      <w:pPr>
        <w:pStyle w:val="BodyText"/>
        <w:spacing w:before="6"/>
        <w:rPr>
          <w:b/>
          <w:sz w:val="17"/>
        </w:rPr>
      </w:pPr>
    </w:p>
    <w:p w:rsidR="00A46CC8" w:rsidRDefault="00543B9F">
      <w:pPr>
        <w:pStyle w:val="BodyText"/>
        <w:spacing w:before="56"/>
        <w:ind w:left="227" w:right="262"/>
        <w:jc w:val="both"/>
      </w:pPr>
      <w:proofErr w:type="spellStart"/>
      <w:r>
        <w:t>Excelquench</w:t>
      </w:r>
      <w:proofErr w:type="spellEnd"/>
      <w:r>
        <w:t xml:space="preserve"> L602Z </w:t>
      </w:r>
      <w:proofErr w:type="gramStart"/>
      <w:r>
        <w:t>is recommended</w:t>
      </w:r>
      <w:proofErr w:type="gramEnd"/>
      <w:r>
        <w:t xml:space="preserve"> for use as an accelerated quench oil where consistent results are required on low alloy steels. Typical applications include </w:t>
      </w:r>
      <w:proofErr w:type="gramStart"/>
      <w:r>
        <w:t>high speed</w:t>
      </w:r>
      <w:proofErr w:type="gramEnd"/>
      <w:r>
        <w:t xml:space="preserve"> steel tools, ball bearings EN31, nuts and bolts EN5 and EN8 and components after carbo-</w:t>
      </w:r>
      <w:proofErr w:type="spellStart"/>
      <w:r>
        <w:t>nitriding</w:t>
      </w:r>
      <w:proofErr w:type="spellEnd"/>
      <w:r>
        <w:t xml:space="preserve"> EN1a, EN32.</w:t>
      </w:r>
    </w:p>
    <w:p w:rsidR="00A46CC8" w:rsidRDefault="00A46CC8">
      <w:pPr>
        <w:pStyle w:val="BodyText"/>
      </w:pPr>
    </w:p>
    <w:p w:rsidR="00A46CC8" w:rsidRDefault="00A46CC8">
      <w:pPr>
        <w:pStyle w:val="BodyText"/>
        <w:spacing w:before="1"/>
      </w:pPr>
    </w:p>
    <w:p w:rsidR="00A46CC8" w:rsidRDefault="00543B9F">
      <w:pPr>
        <w:pStyle w:val="Heading1"/>
        <w:jc w:val="both"/>
        <w:rPr>
          <w:u w:val="none"/>
        </w:rPr>
      </w:pPr>
      <w:r>
        <w:t>Typical Test Data:</w:t>
      </w:r>
    </w:p>
    <w:p w:rsidR="00A46CC8" w:rsidRDefault="00A46CC8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2268"/>
      </w:tblGrid>
      <w:tr w:rsidR="00A46CC8">
        <w:trPr>
          <w:trHeight w:val="268"/>
        </w:trPr>
        <w:tc>
          <w:tcPr>
            <w:tcW w:w="3228" w:type="dxa"/>
          </w:tcPr>
          <w:p w:rsidR="00A46CC8" w:rsidRDefault="00543B9F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Excelquench</w:t>
            </w:r>
            <w:proofErr w:type="spellEnd"/>
          </w:p>
        </w:tc>
        <w:tc>
          <w:tcPr>
            <w:tcW w:w="2268" w:type="dxa"/>
          </w:tcPr>
          <w:p w:rsidR="00A46CC8" w:rsidRDefault="00543B9F">
            <w:pPr>
              <w:pStyle w:val="TableParagraph"/>
              <w:ind w:left="343" w:right="332"/>
              <w:jc w:val="center"/>
              <w:rPr>
                <w:b/>
              </w:rPr>
            </w:pPr>
            <w:r>
              <w:rPr>
                <w:b/>
              </w:rPr>
              <w:t>L602Z</w:t>
            </w:r>
          </w:p>
        </w:tc>
      </w:tr>
      <w:tr w:rsidR="00A46CC8">
        <w:trPr>
          <w:trHeight w:val="270"/>
        </w:trPr>
        <w:tc>
          <w:tcPr>
            <w:tcW w:w="3228" w:type="dxa"/>
          </w:tcPr>
          <w:p w:rsidR="00A46CC8" w:rsidRDefault="00543B9F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Product code</w:t>
            </w:r>
          </w:p>
        </w:tc>
        <w:tc>
          <w:tcPr>
            <w:tcW w:w="2268" w:type="dxa"/>
          </w:tcPr>
          <w:p w:rsidR="00A46CC8" w:rsidRDefault="00543B9F">
            <w:pPr>
              <w:pStyle w:val="TableParagraph"/>
              <w:spacing w:before="1" w:line="249" w:lineRule="exact"/>
              <w:ind w:left="342" w:right="332"/>
              <w:jc w:val="center"/>
              <w:rPr>
                <w:b/>
              </w:rPr>
            </w:pPr>
            <w:r>
              <w:rPr>
                <w:b/>
              </w:rPr>
              <w:t>Q022</w:t>
            </w:r>
          </w:p>
        </w:tc>
      </w:tr>
      <w:tr w:rsidR="00A46CC8">
        <w:trPr>
          <w:trHeight w:val="268"/>
        </w:trPr>
        <w:tc>
          <w:tcPr>
            <w:tcW w:w="3228" w:type="dxa"/>
          </w:tcPr>
          <w:p w:rsidR="00A46CC8" w:rsidRDefault="00543B9F">
            <w:pPr>
              <w:pStyle w:val="TableParagraph"/>
            </w:pPr>
            <w:r>
              <w:t>Specific Gravity @ 15.6°C</w:t>
            </w:r>
          </w:p>
        </w:tc>
        <w:tc>
          <w:tcPr>
            <w:tcW w:w="2268" w:type="dxa"/>
          </w:tcPr>
          <w:p w:rsidR="00A46CC8" w:rsidRDefault="00543B9F">
            <w:pPr>
              <w:pStyle w:val="TableParagraph"/>
              <w:ind w:left="344" w:right="331"/>
              <w:jc w:val="center"/>
            </w:pPr>
            <w:r>
              <w:t>0.874</w:t>
            </w:r>
          </w:p>
        </w:tc>
      </w:tr>
      <w:tr w:rsidR="00A46CC8">
        <w:trPr>
          <w:trHeight w:val="268"/>
        </w:trPr>
        <w:tc>
          <w:tcPr>
            <w:tcW w:w="3228" w:type="dxa"/>
          </w:tcPr>
          <w:p w:rsidR="00A46CC8" w:rsidRDefault="00543B9F">
            <w:pPr>
              <w:pStyle w:val="TableParagraph"/>
            </w:pPr>
            <w:r>
              <w:t>Kinematic Viscosity @ 40°C (</w:t>
            </w:r>
            <w:proofErr w:type="spellStart"/>
            <w:r>
              <w:t>cSt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:rsidR="00A46CC8" w:rsidRDefault="00543B9F">
            <w:pPr>
              <w:pStyle w:val="TableParagraph"/>
              <w:ind w:left="344" w:right="331"/>
              <w:jc w:val="center"/>
            </w:pPr>
            <w:r>
              <w:t>21.9</w:t>
            </w:r>
          </w:p>
        </w:tc>
      </w:tr>
      <w:tr w:rsidR="00A46CC8">
        <w:trPr>
          <w:trHeight w:val="268"/>
        </w:trPr>
        <w:tc>
          <w:tcPr>
            <w:tcW w:w="3228" w:type="dxa"/>
          </w:tcPr>
          <w:p w:rsidR="00A46CC8" w:rsidRDefault="00543B9F">
            <w:pPr>
              <w:pStyle w:val="TableParagraph"/>
            </w:pPr>
            <w:r>
              <w:t>Flash Point (°C)</w:t>
            </w:r>
          </w:p>
        </w:tc>
        <w:tc>
          <w:tcPr>
            <w:tcW w:w="2268" w:type="dxa"/>
          </w:tcPr>
          <w:p w:rsidR="00A46CC8" w:rsidRDefault="00543B9F">
            <w:pPr>
              <w:pStyle w:val="TableParagraph"/>
              <w:ind w:left="344" w:right="332"/>
              <w:jc w:val="center"/>
            </w:pPr>
            <w:r>
              <w:t>197</w:t>
            </w:r>
          </w:p>
        </w:tc>
      </w:tr>
      <w:tr w:rsidR="00A46CC8">
        <w:trPr>
          <w:trHeight w:val="268"/>
        </w:trPr>
        <w:tc>
          <w:tcPr>
            <w:tcW w:w="3228" w:type="dxa"/>
          </w:tcPr>
          <w:p w:rsidR="00A46CC8" w:rsidRDefault="00543B9F">
            <w:pPr>
              <w:pStyle w:val="TableParagraph"/>
            </w:pPr>
            <w:r>
              <w:t>Pour Point (°C)</w:t>
            </w:r>
          </w:p>
        </w:tc>
        <w:tc>
          <w:tcPr>
            <w:tcW w:w="2268" w:type="dxa"/>
          </w:tcPr>
          <w:p w:rsidR="00A46CC8" w:rsidRDefault="00543B9F">
            <w:pPr>
              <w:pStyle w:val="TableParagraph"/>
              <w:ind w:left="344" w:right="331"/>
              <w:jc w:val="center"/>
            </w:pPr>
            <w:r>
              <w:t>-15</w:t>
            </w:r>
          </w:p>
        </w:tc>
      </w:tr>
      <w:tr w:rsidR="00A46CC8">
        <w:trPr>
          <w:trHeight w:val="268"/>
        </w:trPr>
        <w:tc>
          <w:tcPr>
            <w:tcW w:w="3228" w:type="dxa"/>
          </w:tcPr>
          <w:p w:rsidR="00A46CC8" w:rsidRDefault="00543B9F">
            <w:pPr>
              <w:pStyle w:val="TableParagraph"/>
            </w:pPr>
            <w:r>
              <w:t>Appearance</w:t>
            </w:r>
          </w:p>
        </w:tc>
        <w:tc>
          <w:tcPr>
            <w:tcW w:w="2268" w:type="dxa"/>
          </w:tcPr>
          <w:p w:rsidR="00A46CC8" w:rsidRDefault="00543B9F">
            <w:pPr>
              <w:pStyle w:val="TableParagraph"/>
              <w:ind w:left="344" w:right="332"/>
              <w:jc w:val="center"/>
            </w:pPr>
            <w:r>
              <w:t>Clear amber fluid</w:t>
            </w:r>
          </w:p>
        </w:tc>
      </w:tr>
    </w:tbl>
    <w:p w:rsidR="00A46CC8" w:rsidRDefault="00A46CC8">
      <w:pPr>
        <w:pStyle w:val="BodyText"/>
        <w:rPr>
          <w:b/>
        </w:rPr>
      </w:pPr>
    </w:p>
    <w:p w:rsidR="00A46CC8" w:rsidRDefault="00A46CC8">
      <w:pPr>
        <w:pStyle w:val="BodyText"/>
        <w:spacing w:before="12"/>
        <w:rPr>
          <w:b/>
          <w:sz w:val="21"/>
        </w:rPr>
      </w:pPr>
    </w:p>
    <w:p w:rsidR="00A46CC8" w:rsidRDefault="00543B9F">
      <w:pPr>
        <w:ind w:left="227"/>
        <w:jc w:val="both"/>
        <w:rPr>
          <w:b/>
        </w:rPr>
      </w:pPr>
      <w:r>
        <w:rPr>
          <w:b/>
          <w:u w:val="single"/>
        </w:rPr>
        <w:t>Health &amp; Safety:</w:t>
      </w:r>
    </w:p>
    <w:p w:rsidR="00A46CC8" w:rsidRDefault="00A46CC8">
      <w:pPr>
        <w:pStyle w:val="BodyText"/>
        <w:spacing w:before="6"/>
        <w:rPr>
          <w:b/>
          <w:sz w:val="17"/>
        </w:rPr>
      </w:pPr>
    </w:p>
    <w:p w:rsidR="00A46CC8" w:rsidRPr="00543B9F" w:rsidRDefault="00543B9F" w:rsidP="00543B9F">
      <w:pPr>
        <w:pStyle w:val="BodyText"/>
        <w:spacing w:before="56"/>
        <w:ind w:left="227"/>
      </w:pPr>
      <w:r>
        <w:t>Please refer to the safety data sheet, a copy of which is freely available to all of our customers.</w:t>
      </w:r>
    </w:p>
    <w:sectPr w:rsidR="00A46CC8" w:rsidRPr="00543B9F">
      <w:type w:val="continuous"/>
      <w:pgSz w:w="11910" w:h="16840"/>
      <w:pgMar w:top="780" w:right="6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46CC8"/>
    <w:rsid w:val="00543B9F"/>
    <w:rsid w:val="0070290C"/>
    <w:rsid w:val="00A4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BBD933F"/>
  <w15:docId w15:val="{6C9437E6-7C99-452C-AA8F-4A802FCE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ind w:left="227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"/>
      <w:ind w:left="227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Lundie</dc:creator>
  <cp:lastModifiedBy>PHAN GIA COMPUTER</cp:lastModifiedBy>
  <cp:revision>4</cp:revision>
  <dcterms:created xsi:type="dcterms:W3CDTF">2021-06-28T05:38:00Z</dcterms:created>
  <dcterms:modified xsi:type="dcterms:W3CDTF">2021-06-28T05:53:00Z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2021-06-28T00:00:00Z</vt:filetime>
  </property>
</Properties>
</file>